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05/04/2024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KRY102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KARİYER PLANLAMA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AŞÇ134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YİYECEK İÇECEK ENDÜSTRİSİNDE ÜRÜN GELİŞTİRME VE DUYUSAL ANALİZ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AŞÇ230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UYGULAMA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MUTFAKTA İŞ SAĞLIĞI VE GÜVENLİĞİ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TD101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B106 – C101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B106 – C101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B106 – C101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AŞÇ128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HAZIR YEMEKÇİLİK VE SERVİS HİZMETLERİ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AŞÇ138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GİRİŞİMCİLİK II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AŞÇ126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GIDA MEVZUATI VE KALİTE YÖNETİMİ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AŞÇ136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GIDA HAZIRLAMA VE PİŞİRİM TEKNİKLERİ II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AŞÇILIK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TÜM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SINIFLAR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17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kALqIjAdpzU2QoVM2avVKYaSw==">CgMxLjAyCGguZ2pkZ3hzOAByITE5UldPWUVLN3ljbUxjNXdsMUo4WXZlam50SGRWdWx6MA==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